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From Molecule to Market: Digitizing the Drug Development Pipeline</w:t>
      </w:r>
    </w:p>
    <w:p w:rsidR="00F8300B" w:rsidRDefault="00F8300B" w:rsidP="00F8300B">
      <w:pPr>
        <w:pStyle w:val="NormalWeb"/>
      </w:pPr>
      <w:r>
        <w:rPr>
          <w:rStyle w:val="Strong"/>
        </w:rPr>
        <w:t>Dr. Rehan Haider, Ph.D</w:t>
      </w:r>
      <w:proofErr w:type="gramStart"/>
      <w:r>
        <w:rPr>
          <w:rStyle w:val="Strong"/>
        </w:rPr>
        <w:t>.</w:t>
      </w:r>
      <w:proofErr w:type="gramEnd"/>
      <w:r>
        <w:br/>
        <w:t>Riggs Pharmaceuticals; Department of Pharmacy, University of Karachi, Pakistan</w:t>
      </w:r>
      <w:r>
        <w:t xml:space="preserve"> Email:rehan_haider64@yahoo.com</w:t>
      </w:r>
    </w:p>
    <w:p w:rsidR="00F8300B" w:rsidRDefault="00F8300B" w:rsidP="00F8300B">
      <w:pPr>
        <w:pStyle w:val="NormalWeb"/>
      </w:pPr>
      <w:r>
        <w:rPr>
          <w:rStyle w:val="Strong"/>
        </w:rPr>
        <w:t>Dr. Hina Abbas, FCPS</w:t>
      </w:r>
      <w:r>
        <w:br/>
        <w:t>Assistant Professor, Dow University of Health Sciences, Karachi, Pakistan</w:t>
      </w:r>
      <w:r>
        <w:t xml:space="preserve"> Email:hina.abbas@duhs.edu.pk</w:t>
      </w: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Abstract</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The transformation of a drug from an initial molecular concept to a marketed therapeutic product has long been characterized by uncertainty, high financial demands, and extended timelines. Conventional development models depend heavily on iterative experimentation and prolonged clinical evaluation, with few candidate molecules successfully progressing to commercialization. Over the past decade, digital innovation has begun to redefine this process, offering new pathways for precision, efficiency, and predictive insight throughout pharmaceutical research and development.</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Artificial intelligence–driven molecular modeling, virtual screening, and predictive analytics now enable researchers to identify viable compounds with greater accuracy. Machine learning algorithms simulate biological interactions and anticipate pharmacokinetic properties, allowing earlier prioritization of promising molecules. Within clinical research, digital platforms facilitate decentralized trials, remote patient monitoring, and automated data synthesis—tools that strengthen validity while reducing both duration and cost. Regulatory agencies, in parallel, are embracing digital submission frameworks and automated review systems to enhance transparency and accelerate decision-making.</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More than a technological shift, digitization represents a reimagining of pharmaceutical innovation—one rooted in data integration, adaptive learning, and patient-centered design. By bridging discovery, development, and regulatory review through cohesive digital systems, this evolution promises to deliver safer, more effective therapies within shorter timelines, bringing laboratory breakthroughs closer to clinical reality.</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b/>
          <w:bCs/>
          <w:sz w:val="24"/>
          <w:szCs w:val="24"/>
        </w:rPr>
        <w:t>Keywords:</w:t>
      </w:r>
      <w:r w:rsidRPr="00F8300B">
        <w:rPr>
          <w:rFonts w:ascii="Times New Roman" w:eastAsia="Times New Roman" w:hAnsi="Times New Roman" w:cs="Times New Roman"/>
          <w:sz w:val="24"/>
          <w:szCs w:val="24"/>
        </w:rPr>
        <w:t xml:space="preserve"> Digital drug development; Artificial intelligence; Machine learning; Clinical trials; Regulatory technology; Pharmacovigilance; Precision medicine; Biopharma innovation</w:t>
      </w:r>
    </w:p>
    <w:p w:rsid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lastRenderedPageBreak/>
        <w:t>1. Introduction</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The journey from drug discovery to market authorization remains one of the most intricate and resource-intensive undertakings in biomedical science. Traditional methods rely on trial-and-error experimentation, extensive preclinical studies, and multi-phase clinical trials, all of which require considerable financial and temporal investment. Despite technological progress, the likelihood that a drug candidate successfully advances from discovery to approval continues to hover below 10% (1–3). Such inefficiencies underscore the urgent need for transformative approaches that can optimize resource allocation while safeguarding scientific and ethical integrity.</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The growing integration of digital technologies offers a compelling response to these challenges. Artificial intelligence (AI) and machine learning (ML) now support various stages of pharmaceutical development, from molecular modeling and compound selection to predictive toxicology and patient stratification (4–11). In the clinical realm, digitalization enables hybrid and decentralized trials through telemedicine, wearable devices, and electronic patient-reported outcomes, allowing continuous monitoring and diverse participant inclusion (12–17).</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At the regulatory level, agencies have begun adopting electronic submission systems, structured digital dossiers, and algorithm-assisted review processes (18–20). These tools not only shorten review timelines but also improve data transparency and inter-agency coordination.</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Nevertheless, most published analyses still examine digital tools in isolation rather than as components of an integrated pipeline. Many reports are retrospective or consultancy-based rather than derived from empirical validation (21–24). Additionally, persistent barriers—including data fragmentation, limited technical capacity, concerns about model interpretability, and uneven regulatory readiness—continue to impede full-scale adoption (11,25).</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This paper synthesizes contemporary evidence from research, clinical, and regulatory perspectives to propose an integrated framework for digitizing the drug development continuum. It highlights both the transformative potential and the pragmatic considerations necessary for large-scale, ethical implementation.</w:t>
      </w:r>
    </w:p>
    <w:p w:rsidR="00F8300B" w:rsidRP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2. Literature Review</w:t>
      </w:r>
    </w:p>
    <w:p w:rsidR="00F8300B" w:rsidRPr="00F8300B" w:rsidRDefault="00F8300B" w:rsidP="00F8300B">
      <w:pPr>
        <w:spacing w:before="100" w:beforeAutospacing="1" w:after="100" w:afterAutospacing="1" w:line="240" w:lineRule="auto"/>
        <w:outlineLvl w:val="2"/>
        <w:rPr>
          <w:rFonts w:ascii="Times New Roman" w:eastAsia="Times New Roman" w:hAnsi="Times New Roman" w:cs="Times New Roman"/>
          <w:b/>
          <w:bCs/>
          <w:sz w:val="27"/>
          <w:szCs w:val="27"/>
        </w:rPr>
      </w:pPr>
      <w:r w:rsidRPr="00F8300B">
        <w:rPr>
          <w:rFonts w:ascii="Times New Roman" w:eastAsia="Times New Roman" w:hAnsi="Times New Roman" w:cs="Times New Roman"/>
          <w:b/>
          <w:bCs/>
          <w:sz w:val="27"/>
          <w:szCs w:val="27"/>
        </w:rPr>
        <w:t>2.1 Digital Transformation in Drug Discovery</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AI-driven discovery has rapidly evolved from computational modeling to sophisticated deep-learning approaches capable of predicting molecular properties, biological targets, and potential off-target effects (1–5). Machine learning models can evaluate structure–activity relationships, anticipate binding affinities, and design novel chemical entities with improved drug-like characteristics. Predictive toxicology and ADMET (absorption, distribution, metabolism, excretion, and toxicity) modeling now serve as critical tools to minimize late-stage failure (19,22,24).</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Recent studies report a 30–60% reduction in early discovery timelines when AI complements laboratory-based screening (3</w:t>
      </w:r>
      <w:proofErr w:type="gramStart"/>
      <w:r w:rsidRPr="00F8300B">
        <w:rPr>
          <w:rFonts w:ascii="Times New Roman" w:eastAsia="Times New Roman" w:hAnsi="Times New Roman" w:cs="Times New Roman"/>
          <w:sz w:val="24"/>
          <w:szCs w:val="24"/>
        </w:rPr>
        <w:t>,4</w:t>
      </w:r>
      <w:proofErr w:type="gramEnd"/>
      <w:r w:rsidRPr="00F8300B">
        <w:rPr>
          <w:rFonts w:ascii="Times New Roman" w:eastAsia="Times New Roman" w:hAnsi="Times New Roman" w:cs="Times New Roman"/>
          <w:sz w:val="24"/>
          <w:szCs w:val="24"/>
        </w:rPr>
        <w:t>). This synergy allows researchers to focus experimental validation on the most promising compounds, reducing both material waste and cost.</w:t>
      </w:r>
    </w:p>
    <w:p w:rsidR="00F8300B" w:rsidRPr="00F8300B" w:rsidRDefault="00F8300B" w:rsidP="00F8300B">
      <w:pPr>
        <w:spacing w:before="100" w:beforeAutospacing="1" w:after="100" w:afterAutospacing="1" w:line="240" w:lineRule="auto"/>
        <w:outlineLvl w:val="2"/>
        <w:rPr>
          <w:rFonts w:ascii="Times New Roman" w:eastAsia="Times New Roman" w:hAnsi="Times New Roman" w:cs="Times New Roman"/>
          <w:b/>
          <w:bCs/>
          <w:sz w:val="27"/>
          <w:szCs w:val="27"/>
        </w:rPr>
      </w:pPr>
      <w:r w:rsidRPr="00F8300B">
        <w:rPr>
          <w:rFonts w:ascii="Times New Roman" w:eastAsia="Times New Roman" w:hAnsi="Times New Roman" w:cs="Times New Roman"/>
          <w:b/>
          <w:bCs/>
          <w:sz w:val="27"/>
          <w:szCs w:val="27"/>
        </w:rPr>
        <w:t>2.2 Digital Innovations in Clinical Trials</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Clinical research is undergoing an operational shift toward digital inclusion. Decentralized trial models—enabled by telemedicine, wearable sensors, and cloud-based monitoring—expand patient access and improve retention, particularly in geographically dispersed populations (6–9,20,23). Real-world evidence (RWE) platforms further enrich data authenticity and external validity (8). However, challenges remain concerning cybersecurity, interoperability, and adherence to privacy regulations, which vary considerably across regions.</w:t>
      </w:r>
    </w:p>
    <w:p w:rsidR="00F8300B" w:rsidRPr="00F8300B" w:rsidRDefault="00F8300B" w:rsidP="00F8300B">
      <w:pPr>
        <w:spacing w:before="100" w:beforeAutospacing="1" w:after="100" w:afterAutospacing="1" w:line="240" w:lineRule="auto"/>
        <w:outlineLvl w:val="2"/>
        <w:rPr>
          <w:rFonts w:ascii="Times New Roman" w:eastAsia="Times New Roman" w:hAnsi="Times New Roman" w:cs="Times New Roman"/>
          <w:b/>
          <w:bCs/>
          <w:sz w:val="27"/>
          <w:szCs w:val="27"/>
        </w:rPr>
      </w:pPr>
      <w:r w:rsidRPr="00F8300B">
        <w:rPr>
          <w:rFonts w:ascii="Times New Roman" w:eastAsia="Times New Roman" w:hAnsi="Times New Roman" w:cs="Times New Roman"/>
          <w:b/>
          <w:bCs/>
          <w:sz w:val="27"/>
          <w:szCs w:val="27"/>
        </w:rPr>
        <w:t>2.3 Digital Workflow Integration in Regulatory Review</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Regulatory modernization is a crucial enabler of end-to-end digital adoption. Agencies such as the U.S. FDA and EMA have introduced standardized submission formats, including the electronic Common Technical Document (eCTD), and digital quality management systems to streamline data handling and review (10,11,21). Nonetheless, the absence of unified global standards and the nascent state of AI-validation frameworks pose ongoing challenges for regulatory harmonization (25).</w:t>
      </w: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3. Methodology</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This study utilized a systematic literature review approach. Databases such as PubMed, Scopus, Web of Science, and regulatory repositories were searched using key terms: </w:t>
      </w:r>
      <w:r w:rsidRPr="00F8300B">
        <w:rPr>
          <w:rFonts w:ascii="Times New Roman" w:eastAsia="Times New Roman" w:hAnsi="Times New Roman" w:cs="Times New Roman"/>
          <w:i/>
          <w:iCs/>
          <w:sz w:val="24"/>
          <w:szCs w:val="24"/>
        </w:rPr>
        <w:t>digital drug development, AI in pharmaceuticals, decentralized clinical trials, digital regulatory workflows,</w:t>
      </w:r>
      <w:r w:rsidRPr="00F8300B">
        <w:rPr>
          <w:rFonts w:ascii="Times New Roman" w:eastAsia="Times New Roman" w:hAnsi="Times New Roman" w:cs="Times New Roman"/>
          <w:sz w:val="24"/>
          <w:szCs w:val="24"/>
        </w:rPr>
        <w:t xml:space="preserve"> and </w:t>
      </w:r>
      <w:r w:rsidRPr="00F8300B">
        <w:rPr>
          <w:rFonts w:ascii="Times New Roman" w:eastAsia="Times New Roman" w:hAnsi="Times New Roman" w:cs="Times New Roman"/>
          <w:i/>
          <w:iCs/>
          <w:sz w:val="24"/>
          <w:szCs w:val="24"/>
        </w:rPr>
        <w:t>end-to-end biopharma digitization</w:t>
      </w:r>
      <w:r w:rsidRPr="00F8300B">
        <w:rPr>
          <w:rFonts w:ascii="Times New Roman" w:eastAsia="Times New Roman" w:hAnsi="Times New Roman" w:cs="Times New Roman"/>
          <w:sz w:val="24"/>
          <w:szCs w:val="24"/>
        </w:rPr>
        <w:t>.</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b/>
          <w:bCs/>
          <w:sz w:val="24"/>
          <w:szCs w:val="24"/>
        </w:rPr>
        <w:t>Inclusion criteria:</w:t>
      </w:r>
    </w:p>
    <w:p w:rsidR="00F8300B" w:rsidRPr="00F8300B" w:rsidRDefault="00F8300B" w:rsidP="00F8300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Publications discussing digitization in at least one phase of drug development</w:t>
      </w:r>
    </w:p>
    <w:p w:rsidR="00F8300B" w:rsidRPr="00F8300B" w:rsidRDefault="00F8300B" w:rsidP="00F8300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Peer-reviewed articles or regulatory documents published between 2004 and 2025</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From 112 screened sources, 55 met inclusion criteria. Data were synthesized to conceptualize an integrated digital framework encompassing discovery, clinical, and regulatory domains.</w:t>
      </w:r>
    </w:p>
    <w:p w:rsidR="00F8300B" w:rsidRDefault="00F8300B" w:rsidP="00F8300B">
      <w:pPr>
        <w:spacing w:after="0" w:line="240" w:lineRule="auto"/>
        <w:rPr>
          <w:rFonts w:ascii="Times New Roman" w:eastAsia="Times New Roman" w:hAnsi="Times New Roman" w:cs="Times New Roman"/>
          <w:sz w:val="24"/>
          <w:szCs w:val="24"/>
        </w:rPr>
      </w:pPr>
    </w:p>
    <w:p w:rsidR="00F8300B" w:rsidRDefault="00F8300B" w:rsidP="00F8300B">
      <w:pPr>
        <w:spacing w:after="0" w:line="240" w:lineRule="auto"/>
        <w:rPr>
          <w:rFonts w:ascii="Times New Roman" w:eastAsia="Times New Roman" w:hAnsi="Times New Roman" w:cs="Times New Roman"/>
          <w:sz w:val="24"/>
          <w:szCs w:val="24"/>
        </w:rPr>
      </w:pPr>
    </w:p>
    <w:p w:rsid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4. Statistical and Analytical Approach</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Because this work was based on secondary data, no new patient-level information was collected. Extracted findings from eligible studies were compared based on reported outcomes such as:</w:t>
      </w:r>
    </w:p>
    <w:p w:rsidR="00F8300B" w:rsidRPr="00F8300B" w:rsidRDefault="00F8300B" w:rsidP="00F8300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Reduction in early discovery timeframes</w:t>
      </w:r>
    </w:p>
    <w:p w:rsidR="00F8300B" w:rsidRPr="00F8300B" w:rsidRDefault="00F8300B" w:rsidP="00F8300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Improvements in trial enrollment and retention rates</w:t>
      </w:r>
    </w:p>
    <w:p w:rsidR="00F8300B" w:rsidRPr="00F8300B" w:rsidRDefault="00F8300B" w:rsidP="00F8300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Shortening of regulatory review durations</w:t>
      </w:r>
    </w:p>
    <w:p w:rsidR="00F8300B" w:rsidRPr="00F8300B" w:rsidRDefault="00F8300B" w:rsidP="00F8300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Estimated cost reductions</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Given the variability of reported metrics, a comparative narrative synthesis was applied instead of quantitative meta-analysis.</w:t>
      </w:r>
    </w:p>
    <w:p w:rsidR="00F8300B" w:rsidRP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5. Results</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The review demonstrated consistent evidence of efficiency gains across the drug development spectrum:</w:t>
      </w:r>
    </w:p>
    <w:p w:rsidR="00F8300B" w:rsidRPr="00F8300B" w:rsidRDefault="00F8300B" w:rsidP="00F8300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b/>
          <w:bCs/>
          <w:sz w:val="24"/>
          <w:szCs w:val="24"/>
        </w:rPr>
        <w:t>Discovery Phase:</w:t>
      </w:r>
      <w:r w:rsidRPr="00F8300B">
        <w:rPr>
          <w:rFonts w:ascii="Times New Roman" w:eastAsia="Times New Roman" w:hAnsi="Times New Roman" w:cs="Times New Roman"/>
          <w:sz w:val="24"/>
          <w:szCs w:val="24"/>
        </w:rPr>
        <w:t xml:space="preserve"> AI-assisted modeling reduced early screening time by 20–60% (1–4,24).</w:t>
      </w:r>
    </w:p>
    <w:p w:rsidR="00F8300B" w:rsidRPr="00F8300B" w:rsidRDefault="00F8300B" w:rsidP="00F8300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b/>
          <w:bCs/>
          <w:sz w:val="24"/>
          <w:szCs w:val="24"/>
        </w:rPr>
        <w:t>Clinical Phase:</w:t>
      </w:r>
      <w:r w:rsidRPr="00F8300B">
        <w:rPr>
          <w:rFonts w:ascii="Times New Roman" w:eastAsia="Times New Roman" w:hAnsi="Times New Roman" w:cs="Times New Roman"/>
          <w:sz w:val="24"/>
          <w:szCs w:val="24"/>
        </w:rPr>
        <w:t xml:space="preserve"> Decentralized trials achieved 15–40% faster recruitment and improved participant adherence (6–9,20,23).</w:t>
      </w:r>
    </w:p>
    <w:p w:rsidR="00F8300B" w:rsidRPr="00F8300B" w:rsidRDefault="00F8300B" w:rsidP="00F8300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b/>
          <w:bCs/>
          <w:sz w:val="24"/>
          <w:szCs w:val="24"/>
        </w:rPr>
        <w:t>Regulatory Phase:</w:t>
      </w:r>
      <w:r w:rsidRPr="00F8300B">
        <w:rPr>
          <w:rFonts w:ascii="Times New Roman" w:eastAsia="Times New Roman" w:hAnsi="Times New Roman" w:cs="Times New Roman"/>
          <w:sz w:val="24"/>
          <w:szCs w:val="24"/>
        </w:rPr>
        <w:t xml:space="preserve"> Electronic submission and review platforms expedited approval timelines (10,11,</w:t>
      </w:r>
      <w:proofErr w:type="gramStart"/>
      <w:r w:rsidRPr="00F8300B">
        <w:rPr>
          <w:rFonts w:ascii="Times New Roman" w:eastAsia="Times New Roman" w:hAnsi="Times New Roman" w:cs="Times New Roman"/>
          <w:sz w:val="24"/>
          <w:szCs w:val="24"/>
        </w:rPr>
        <w:t>21</w:t>
      </w:r>
      <w:proofErr w:type="gramEnd"/>
      <w:r w:rsidRPr="00F8300B">
        <w:rPr>
          <w:rFonts w:ascii="Times New Roman" w:eastAsia="Times New Roman" w:hAnsi="Times New Roman" w:cs="Times New Roman"/>
          <w:sz w:val="24"/>
          <w:szCs w:val="24"/>
        </w:rPr>
        <w:t>).</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However, the degree of improvement varied according to organizational readiness, data quality, and technological maturity. Persistent challenges included limited digital literacy among research staff, integration issues between legacy and modern systems, and transparency concerns regarding algorithmic decision-making (24,25).</w:t>
      </w:r>
    </w:p>
    <w:p w:rsidR="00F8300B" w:rsidRPr="00F8300B" w:rsidRDefault="00F8300B" w:rsidP="00F8300B">
      <w:pPr>
        <w:spacing w:before="100" w:beforeAutospacing="1" w:after="100" w:afterAutospacing="1" w:line="240" w:lineRule="auto"/>
        <w:outlineLvl w:val="2"/>
        <w:rPr>
          <w:rFonts w:ascii="Times New Roman" w:eastAsia="Times New Roman" w:hAnsi="Times New Roman" w:cs="Times New Roman"/>
          <w:b/>
          <w:bCs/>
          <w:sz w:val="27"/>
          <w:szCs w:val="27"/>
        </w:rPr>
      </w:pPr>
      <w:r w:rsidRPr="00F8300B">
        <w:rPr>
          <w:rFonts w:ascii="Times New Roman" w:eastAsia="Times New Roman" w:hAnsi="Times New Roman" w:cs="Times New Roman"/>
          <w:b/>
          <w:bCs/>
          <w:sz w:val="27"/>
          <w:szCs w:val="27"/>
        </w:rPr>
        <w:t>Table 1. Digital Tools Across the Drug Development Pipeline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2"/>
        <w:gridCol w:w="3716"/>
        <w:gridCol w:w="3592"/>
      </w:tblGrid>
      <w:tr w:rsidR="00F8300B" w:rsidRPr="00F8300B" w:rsidTr="00F8300B">
        <w:trPr>
          <w:tblHeader/>
          <w:tblCellSpacing w:w="15" w:type="dxa"/>
        </w:trPr>
        <w:tc>
          <w:tcPr>
            <w:tcW w:w="0" w:type="auto"/>
            <w:vAlign w:val="center"/>
            <w:hideMark/>
          </w:tcPr>
          <w:p w:rsidR="00F8300B" w:rsidRPr="00F8300B" w:rsidRDefault="00F8300B" w:rsidP="00F8300B">
            <w:pPr>
              <w:spacing w:after="0" w:line="240" w:lineRule="auto"/>
              <w:jc w:val="center"/>
              <w:rPr>
                <w:rFonts w:ascii="Times New Roman" w:eastAsia="Times New Roman" w:hAnsi="Times New Roman" w:cs="Times New Roman"/>
                <w:b/>
                <w:bCs/>
                <w:sz w:val="24"/>
                <w:szCs w:val="24"/>
              </w:rPr>
            </w:pPr>
            <w:r w:rsidRPr="00F8300B">
              <w:rPr>
                <w:rFonts w:ascii="Times New Roman" w:eastAsia="Times New Roman" w:hAnsi="Times New Roman" w:cs="Times New Roman"/>
                <w:b/>
                <w:bCs/>
                <w:sz w:val="24"/>
                <w:szCs w:val="24"/>
              </w:rPr>
              <w:t>Pipeline Stage</w:t>
            </w:r>
          </w:p>
        </w:tc>
        <w:tc>
          <w:tcPr>
            <w:tcW w:w="0" w:type="auto"/>
            <w:vAlign w:val="center"/>
            <w:hideMark/>
          </w:tcPr>
          <w:p w:rsidR="00F8300B" w:rsidRPr="00F8300B" w:rsidRDefault="00F8300B" w:rsidP="00F8300B">
            <w:pPr>
              <w:spacing w:after="0" w:line="240" w:lineRule="auto"/>
              <w:jc w:val="center"/>
              <w:rPr>
                <w:rFonts w:ascii="Times New Roman" w:eastAsia="Times New Roman" w:hAnsi="Times New Roman" w:cs="Times New Roman"/>
                <w:b/>
                <w:bCs/>
                <w:sz w:val="24"/>
                <w:szCs w:val="24"/>
              </w:rPr>
            </w:pPr>
            <w:r w:rsidRPr="00F8300B">
              <w:rPr>
                <w:rFonts w:ascii="Times New Roman" w:eastAsia="Times New Roman" w:hAnsi="Times New Roman" w:cs="Times New Roman"/>
                <w:b/>
                <w:bCs/>
                <w:sz w:val="24"/>
                <w:szCs w:val="24"/>
              </w:rPr>
              <w:t>Digital Technology Used</w:t>
            </w:r>
          </w:p>
        </w:tc>
        <w:tc>
          <w:tcPr>
            <w:tcW w:w="0" w:type="auto"/>
            <w:vAlign w:val="center"/>
            <w:hideMark/>
          </w:tcPr>
          <w:p w:rsidR="00F8300B" w:rsidRPr="00F8300B" w:rsidRDefault="00F8300B" w:rsidP="00F8300B">
            <w:pPr>
              <w:spacing w:after="0" w:line="240" w:lineRule="auto"/>
              <w:jc w:val="center"/>
              <w:rPr>
                <w:rFonts w:ascii="Times New Roman" w:eastAsia="Times New Roman" w:hAnsi="Times New Roman" w:cs="Times New Roman"/>
                <w:b/>
                <w:bCs/>
                <w:sz w:val="24"/>
                <w:szCs w:val="24"/>
              </w:rPr>
            </w:pPr>
            <w:r w:rsidRPr="00F8300B">
              <w:rPr>
                <w:rFonts w:ascii="Times New Roman" w:eastAsia="Times New Roman" w:hAnsi="Times New Roman" w:cs="Times New Roman"/>
                <w:b/>
                <w:bCs/>
                <w:sz w:val="24"/>
                <w:szCs w:val="24"/>
              </w:rPr>
              <w:t>Function</w:t>
            </w:r>
          </w:p>
        </w:tc>
      </w:tr>
      <w:tr w:rsidR="00F8300B" w:rsidRPr="00F8300B" w:rsidTr="00F8300B">
        <w:trPr>
          <w:tblCellSpacing w:w="15" w:type="dxa"/>
        </w:trPr>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Target Discovery</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AI-based molecular modeling</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Identifies and prioritizes target molecules</w:t>
            </w:r>
          </w:p>
        </w:tc>
      </w:tr>
      <w:tr w:rsidR="00F8300B" w:rsidRPr="00F8300B" w:rsidTr="00F8300B">
        <w:trPr>
          <w:tblCellSpacing w:w="15" w:type="dxa"/>
        </w:trPr>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Lead Optimization</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Deep learning docking and ADMET prediction</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Filters viable therapeutic candidates</w:t>
            </w:r>
          </w:p>
        </w:tc>
      </w:tr>
      <w:tr w:rsidR="00F8300B" w:rsidRPr="00F8300B" w:rsidTr="00F8300B">
        <w:trPr>
          <w:tblCellSpacing w:w="15" w:type="dxa"/>
        </w:trPr>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Preclinical Testing</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Predictive toxicology platforms</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Reduces animal testing and resource use</w:t>
            </w:r>
          </w:p>
        </w:tc>
      </w:tr>
      <w:tr w:rsidR="00F8300B" w:rsidRPr="00F8300B" w:rsidTr="00F8300B">
        <w:trPr>
          <w:tblCellSpacing w:w="15" w:type="dxa"/>
        </w:trPr>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Clinical Trials</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Decentralized monitoring; ePRO apps</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Enables remote participation and data capture</w:t>
            </w:r>
          </w:p>
        </w:tc>
      </w:tr>
      <w:tr w:rsidR="00F8300B" w:rsidRPr="00F8300B" w:rsidTr="00F8300B">
        <w:trPr>
          <w:tblCellSpacing w:w="15" w:type="dxa"/>
        </w:trPr>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Regulatory Submission</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eCTD and digital dossier systems</w:t>
            </w:r>
          </w:p>
        </w:tc>
        <w:tc>
          <w:tcPr>
            <w:tcW w:w="0" w:type="auto"/>
            <w:vAlign w:val="center"/>
            <w:hideMark/>
          </w:tcPr>
          <w:p w:rsidR="00F8300B" w:rsidRPr="00F8300B" w:rsidRDefault="00F8300B" w:rsidP="00F8300B">
            <w:pPr>
              <w:spacing w:after="0"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Streamlines review and approval workflows</w:t>
            </w:r>
          </w:p>
        </w:tc>
      </w:tr>
    </w:tbl>
    <w:p w:rsidR="00F8300B" w:rsidRDefault="00F8300B"/>
    <w:p w:rsidR="00F8300B" w:rsidRDefault="00F8300B">
      <w:r>
        <w:t>Figure 1. Digitized End-to-End Drug Development Workflo</w:t>
      </w:r>
      <w:r>
        <w:t>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gridCol w:w="3181"/>
        <w:gridCol w:w="4391"/>
      </w:tblGrid>
      <w:tr w:rsidR="00064637" w:rsidRPr="00064637" w:rsidTr="00064637">
        <w:trPr>
          <w:tblHeader/>
          <w:tblCellSpacing w:w="15" w:type="dxa"/>
        </w:trPr>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b/>
                <w:bCs/>
                <w:sz w:val="24"/>
                <w:szCs w:val="24"/>
              </w:rPr>
            </w:pPr>
            <w:r w:rsidRPr="00064637">
              <w:rPr>
                <w:rFonts w:ascii="Times New Roman" w:eastAsia="Times New Roman" w:hAnsi="Times New Roman" w:cs="Times New Roman"/>
                <w:b/>
                <w:bCs/>
                <w:sz w:val="24"/>
                <w:szCs w:val="24"/>
              </w:rPr>
              <w:t>Phase</w:t>
            </w:r>
          </w:p>
        </w:tc>
        <w:tc>
          <w:tcPr>
            <w:tcW w:w="0" w:type="auto"/>
            <w:vAlign w:val="center"/>
            <w:hideMark/>
          </w:tcPr>
          <w:p w:rsidR="00064637" w:rsidRPr="00064637" w:rsidRDefault="00064637" w:rsidP="00064637">
            <w:pPr>
              <w:spacing w:after="0" w:line="240" w:lineRule="auto"/>
              <w:jc w:val="center"/>
              <w:rPr>
                <w:rFonts w:ascii="Times New Roman" w:eastAsia="Times New Roman" w:hAnsi="Times New Roman" w:cs="Times New Roman"/>
                <w:b/>
                <w:bCs/>
                <w:sz w:val="24"/>
                <w:szCs w:val="24"/>
              </w:rPr>
            </w:pPr>
            <w:r w:rsidRPr="00064637">
              <w:rPr>
                <w:rFonts w:ascii="Times New Roman" w:eastAsia="Times New Roman" w:hAnsi="Times New Roman" w:cs="Times New Roman"/>
                <w:b/>
                <w:bCs/>
                <w:sz w:val="24"/>
                <w:szCs w:val="24"/>
              </w:rPr>
              <w:t>Traditional Process</w:t>
            </w:r>
          </w:p>
        </w:tc>
        <w:tc>
          <w:tcPr>
            <w:tcW w:w="0" w:type="auto"/>
            <w:vAlign w:val="center"/>
            <w:hideMark/>
          </w:tcPr>
          <w:p w:rsidR="00064637" w:rsidRPr="00064637" w:rsidRDefault="00064637" w:rsidP="00064637">
            <w:pPr>
              <w:spacing w:after="0" w:line="240" w:lineRule="auto"/>
              <w:jc w:val="center"/>
              <w:rPr>
                <w:rFonts w:ascii="Times New Roman" w:eastAsia="Times New Roman" w:hAnsi="Times New Roman" w:cs="Times New Roman"/>
                <w:b/>
                <w:bCs/>
                <w:sz w:val="24"/>
                <w:szCs w:val="24"/>
              </w:rPr>
            </w:pPr>
            <w:r w:rsidRPr="00064637">
              <w:rPr>
                <w:rFonts w:ascii="Times New Roman" w:eastAsia="Times New Roman" w:hAnsi="Times New Roman" w:cs="Times New Roman"/>
                <w:b/>
                <w:bCs/>
                <w:sz w:val="24"/>
                <w:szCs w:val="24"/>
              </w:rPr>
              <w:t>Digitized Approach</w:t>
            </w:r>
          </w:p>
        </w:tc>
      </w:tr>
      <w:tr w:rsidR="00064637" w:rsidRPr="00064637" w:rsidTr="00064637">
        <w:trPr>
          <w:tblCellSpacing w:w="15" w:type="dxa"/>
        </w:trPr>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b/>
                <w:bCs/>
                <w:sz w:val="24"/>
                <w:szCs w:val="24"/>
              </w:rPr>
              <w:t>Target Identification</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Relies on manual screening, biochemical assays, and repetitive laboratory experimentation.</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AI-driven computational modeling and high-throughput in silico screening accelerate the discovery of viable molecular targets.</w:t>
            </w:r>
          </w:p>
        </w:tc>
      </w:tr>
      <w:tr w:rsidR="00064637" w:rsidRPr="00064637" w:rsidTr="00064637">
        <w:trPr>
          <w:tblCellSpacing w:w="15" w:type="dxa"/>
        </w:trPr>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b/>
                <w:bCs/>
                <w:sz w:val="24"/>
                <w:szCs w:val="24"/>
              </w:rPr>
              <w:t>Lead Optimization</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Sequential chemical synthesis and empirical testing prolong development cycles.</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Deep learning algorithms and predictive ADMET modeling streamline optimization by forecasting molecular performance and safety profiles.</w:t>
            </w:r>
          </w:p>
        </w:tc>
      </w:tr>
      <w:tr w:rsidR="00064637" w:rsidRPr="00064637" w:rsidTr="00064637">
        <w:trPr>
          <w:tblCellSpacing w:w="15" w:type="dxa"/>
        </w:trPr>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b/>
                <w:bCs/>
                <w:sz w:val="24"/>
                <w:szCs w:val="24"/>
              </w:rPr>
              <w:t>Preclinical Studies</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Heavy dependence on animal testing and time-intensive toxicology assessments.</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Virtual toxicology models and digital simulation tools reduce reliance on animal models and improve translational accuracy.</w:t>
            </w:r>
          </w:p>
        </w:tc>
      </w:tr>
      <w:tr w:rsidR="00064637" w:rsidRPr="00064637" w:rsidTr="00064637">
        <w:trPr>
          <w:tblCellSpacing w:w="15" w:type="dxa"/>
        </w:trPr>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b/>
                <w:bCs/>
                <w:sz w:val="24"/>
                <w:szCs w:val="24"/>
              </w:rPr>
              <w:t>Clinical Trials</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Site-based trials with limited participant diversity and logistical constraints.</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Decentralized and hybrid trials utilize telemedicine, wearable sensors, and ePRO platforms to enhance access, monitoring, and retention.</w:t>
            </w:r>
          </w:p>
        </w:tc>
      </w:tr>
      <w:tr w:rsidR="00064637" w:rsidRPr="00064637" w:rsidTr="00064637">
        <w:trPr>
          <w:tblCellSpacing w:w="15" w:type="dxa"/>
        </w:trPr>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b/>
                <w:bCs/>
                <w:sz w:val="24"/>
                <w:szCs w:val="24"/>
              </w:rPr>
              <w:t>Regulatory Review</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Paper-based submissions and manual review processes create administrative bottlenecks.</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eCTD submissions, automated dossier tracking, and AI-assisted validation facilitate faster, transparent review cycles.</w:t>
            </w:r>
          </w:p>
        </w:tc>
      </w:tr>
      <w:tr w:rsidR="00064637" w:rsidRPr="00064637" w:rsidTr="00064637">
        <w:trPr>
          <w:tblCellSpacing w:w="15" w:type="dxa"/>
        </w:trPr>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b/>
                <w:bCs/>
                <w:sz w:val="24"/>
                <w:szCs w:val="24"/>
              </w:rPr>
              <w:t>Post-Marketing Surveillance</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Passive adverse event reporting and delayed data analysis.</w:t>
            </w:r>
          </w:p>
        </w:tc>
        <w:tc>
          <w:tcPr>
            <w:tcW w:w="0" w:type="auto"/>
            <w:vAlign w:val="center"/>
            <w:hideMark/>
          </w:tcPr>
          <w:p w:rsidR="00064637" w:rsidRPr="00064637" w:rsidRDefault="00064637" w:rsidP="00064637">
            <w:pPr>
              <w:spacing w:after="0"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sz w:val="24"/>
                <w:szCs w:val="24"/>
              </w:rPr>
              <w:t>Real-time pharmacovigilance systems and digital registries enable continuous safety monitoring and personalized treatment optimization.</w:t>
            </w:r>
          </w:p>
        </w:tc>
      </w:tr>
    </w:tbl>
    <w:p w:rsidR="00064637" w:rsidRPr="00064637" w:rsidRDefault="00064637" w:rsidP="00064637">
      <w:pPr>
        <w:spacing w:before="100" w:beforeAutospacing="1" w:after="100" w:afterAutospacing="1" w:line="240" w:lineRule="auto"/>
        <w:rPr>
          <w:rFonts w:ascii="Times New Roman" w:eastAsia="Times New Roman" w:hAnsi="Times New Roman" w:cs="Times New Roman"/>
          <w:sz w:val="24"/>
          <w:szCs w:val="24"/>
        </w:rPr>
      </w:pPr>
      <w:r w:rsidRPr="00064637">
        <w:rPr>
          <w:rFonts w:ascii="Times New Roman" w:eastAsia="Times New Roman" w:hAnsi="Times New Roman" w:cs="Times New Roman"/>
          <w:b/>
          <w:bCs/>
          <w:sz w:val="24"/>
          <w:szCs w:val="24"/>
        </w:rPr>
        <w:t>Source:</w:t>
      </w:r>
      <w:r w:rsidRPr="00064637">
        <w:rPr>
          <w:rFonts w:ascii="Times New Roman" w:eastAsia="Times New Roman" w:hAnsi="Times New Roman" w:cs="Times New Roman"/>
          <w:sz w:val="24"/>
          <w:szCs w:val="24"/>
        </w:rPr>
        <w:t xml:space="preserve"> Adapted from Paul et al. (2021) and Chen et al. (2018), with conceptual modifications by Haider et al.</w:t>
      </w:r>
    </w:p>
    <w:p w:rsidR="00F8300B" w:rsidRDefault="00F8300B">
      <w:bookmarkStart w:id="0" w:name="_GoBack"/>
      <w:bookmarkEnd w:id="0"/>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6. Discussion</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The analysis reinforces that digitization enhances productivity across every stage of pharmaceutical R&amp;D. However, optimal benefits are realized only when technologies are implemented as part of an integrated, ecosystem-level transformation rather than isolated upgrades.</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AI-driven discovery, for instance, performs best when paired with predictive toxicology and iterative laboratory feedback loops (1–5,19,22,24). Similarly, decentralized trials require harmonized data governance, validated remote-monitoring tools, and interoperable electronic health systems to ensure scientific reliability (6–9).</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Regulatory innovation remains both an enabler and a bottleneck. While agencies have advanced in adopting electronic submission frameworks, standardized validation for AI-based methodologies is still evolving (10,11,21,25). Effective collaboration between regulators, industry, and academia will be critical for establishing transparent benchmarks for algorithmic reliability and bias mitigation.</w:t>
      </w:r>
    </w:p>
    <w:p w:rsidR="00F8300B" w:rsidRP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7. Conclusion</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Digitization is redefining pharmaceutical research as a connected, data-rich, and adaptive process. From molecular modeling to post-marketing surveillance, digital tools have demonstrated their potential to reduce costs, improve accuracy, and accelerate the delivery of new therapies. Yet, realizing this vision requires not just technological investment but also systemic adaptation—encompassing workforce training, ethical frameworks, and regulatory evolution.</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Future work should focus on prospective validation of digital workflows, harmonization of global regulatory standards, and strategies for equitable technology access. With coordinated efforts, the digital transformation of drug development can bridge the persistent gap between molecular innovation and real-world therapeutic impact.</w:t>
      </w:r>
    </w:p>
    <w:p w:rsid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Acknowledgment</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This research was made possible through the guidance and encouragement of </w:t>
      </w:r>
      <w:r w:rsidRPr="00F8300B">
        <w:rPr>
          <w:rFonts w:ascii="Times New Roman" w:eastAsia="Times New Roman" w:hAnsi="Times New Roman" w:cs="Times New Roman"/>
          <w:b/>
          <w:bCs/>
          <w:sz w:val="24"/>
          <w:szCs w:val="24"/>
        </w:rPr>
        <w:t>Dr. Naweed Imam Syed</w:t>
      </w:r>
      <w:r w:rsidRPr="00F8300B">
        <w:rPr>
          <w:rFonts w:ascii="Times New Roman" w:eastAsia="Times New Roman" w:hAnsi="Times New Roman" w:cs="Times New Roman"/>
          <w:sz w:val="24"/>
          <w:szCs w:val="24"/>
        </w:rPr>
        <w:t>, Professor, Department of Cell Biology, University of Calgary, whose mentorship and insights were invaluable throughout the study.</w:t>
      </w: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Authors’ Contributions</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All authors contributed equally to the conception, research design, data synthesis, and manuscript preparation.</w:t>
      </w: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Conflict of Interest</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The authors declare no conflicts of interest.</w:t>
      </w: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Funding</w:t>
      </w:r>
    </w:p>
    <w:p w:rsidR="00F8300B" w:rsidRPr="00F8300B" w:rsidRDefault="00F8300B" w:rsidP="00F8300B">
      <w:p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This study received no financial support for research, authorship, or publication.</w:t>
      </w:r>
    </w:p>
    <w:p w:rsidR="00F8300B" w:rsidRPr="00F8300B" w:rsidRDefault="00F8300B" w:rsidP="00F8300B">
      <w:pPr>
        <w:spacing w:after="0" w:line="240" w:lineRule="auto"/>
        <w:rPr>
          <w:rFonts w:ascii="Times New Roman" w:eastAsia="Times New Roman" w:hAnsi="Times New Roman" w:cs="Times New Roman"/>
          <w:sz w:val="24"/>
          <w:szCs w:val="24"/>
        </w:rPr>
      </w:pPr>
    </w:p>
    <w:p w:rsidR="00F8300B" w:rsidRPr="00F8300B" w:rsidRDefault="00F8300B" w:rsidP="00F8300B">
      <w:pPr>
        <w:spacing w:before="100" w:beforeAutospacing="1" w:after="100" w:afterAutospacing="1" w:line="240" w:lineRule="auto"/>
        <w:outlineLvl w:val="1"/>
        <w:rPr>
          <w:rFonts w:ascii="Times New Roman" w:eastAsia="Times New Roman" w:hAnsi="Times New Roman" w:cs="Times New Roman"/>
          <w:b/>
          <w:bCs/>
          <w:sz w:val="36"/>
          <w:szCs w:val="36"/>
        </w:rPr>
      </w:pPr>
      <w:r w:rsidRPr="00F8300B">
        <w:rPr>
          <w:rFonts w:ascii="Times New Roman" w:eastAsia="Times New Roman" w:hAnsi="Times New Roman" w:cs="Times New Roman"/>
          <w:b/>
          <w:bCs/>
          <w:sz w:val="36"/>
          <w:szCs w:val="36"/>
        </w:rPr>
        <w:t>References</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Paul D, Sanap G, Shenoy S, et al. </w:t>
      </w:r>
      <w:r w:rsidRPr="00F8300B">
        <w:rPr>
          <w:rFonts w:ascii="Times New Roman" w:eastAsia="Times New Roman" w:hAnsi="Times New Roman" w:cs="Times New Roman"/>
          <w:i/>
          <w:iCs/>
          <w:sz w:val="24"/>
          <w:szCs w:val="24"/>
        </w:rPr>
        <w:t>Artificial intelligence in drug discovery and development.</w:t>
      </w:r>
      <w:r w:rsidRPr="00F8300B">
        <w:rPr>
          <w:rFonts w:ascii="Times New Roman" w:eastAsia="Times New Roman" w:hAnsi="Times New Roman" w:cs="Times New Roman"/>
          <w:sz w:val="24"/>
          <w:szCs w:val="24"/>
        </w:rPr>
        <w:t xml:space="preserve"> Drug Discov Today. 2021</w:t>
      </w:r>
      <w:proofErr w:type="gramStart"/>
      <w:r w:rsidRPr="00F8300B">
        <w:rPr>
          <w:rFonts w:ascii="Times New Roman" w:eastAsia="Times New Roman" w:hAnsi="Times New Roman" w:cs="Times New Roman"/>
          <w:sz w:val="24"/>
          <w:szCs w:val="24"/>
        </w:rPr>
        <w:t>;26</w:t>
      </w:r>
      <w:proofErr w:type="gramEnd"/>
      <w:r w:rsidRPr="00F8300B">
        <w:rPr>
          <w:rFonts w:ascii="Times New Roman" w:eastAsia="Times New Roman" w:hAnsi="Times New Roman" w:cs="Times New Roman"/>
          <w:sz w:val="24"/>
          <w:szCs w:val="24"/>
        </w:rPr>
        <w:t>(1):80–93.</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Chen H, Engkvist O, Wang Y, Olivecrona M, Blaschke T. </w:t>
      </w:r>
      <w:r w:rsidRPr="00F8300B">
        <w:rPr>
          <w:rFonts w:ascii="Times New Roman" w:eastAsia="Times New Roman" w:hAnsi="Times New Roman" w:cs="Times New Roman"/>
          <w:i/>
          <w:iCs/>
          <w:sz w:val="24"/>
          <w:szCs w:val="24"/>
        </w:rPr>
        <w:t>The rise of deep learning in drug discovery.</w:t>
      </w:r>
      <w:r w:rsidRPr="00F8300B">
        <w:rPr>
          <w:rFonts w:ascii="Times New Roman" w:eastAsia="Times New Roman" w:hAnsi="Times New Roman" w:cs="Times New Roman"/>
          <w:sz w:val="24"/>
          <w:szCs w:val="24"/>
        </w:rPr>
        <w:t xml:space="preserve"> Drug Discov Today. 2018;23(6):1241–1250.</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Su J, et al. </w:t>
      </w:r>
      <w:r w:rsidRPr="00F8300B">
        <w:rPr>
          <w:rFonts w:ascii="Times New Roman" w:eastAsia="Times New Roman" w:hAnsi="Times New Roman" w:cs="Times New Roman"/>
          <w:i/>
          <w:iCs/>
          <w:sz w:val="24"/>
          <w:szCs w:val="24"/>
        </w:rPr>
        <w:t>Artificial Intelligence in Drug Discovery: A Comprehensive Review.</w:t>
      </w:r>
      <w:r w:rsidRPr="00F8300B">
        <w:rPr>
          <w:rFonts w:ascii="Times New Roman" w:eastAsia="Times New Roman" w:hAnsi="Times New Roman" w:cs="Times New Roman"/>
          <w:sz w:val="24"/>
          <w:szCs w:val="24"/>
        </w:rPr>
        <w:t xml:space="preserve"> Nat Rev Drug Discov. 2025 (In Press).</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Zhavoronkov A, et al. </w:t>
      </w:r>
      <w:r w:rsidRPr="00F8300B">
        <w:rPr>
          <w:rFonts w:ascii="Times New Roman" w:eastAsia="Times New Roman" w:hAnsi="Times New Roman" w:cs="Times New Roman"/>
          <w:i/>
          <w:iCs/>
          <w:sz w:val="24"/>
          <w:szCs w:val="24"/>
        </w:rPr>
        <w:t>Deep learning enables rapid identification of novel drug candidates.</w:t>
      </w:r>
      <w:r w:rsidRPr="00F8300B">
        <w:rPr>
          <w:rFonts w:ascii="Times New Roman" w:eastAsia="Times New Roman" w:hAnsi="Times New Roman" w:cs="Times New Roman"/>
          <w:sz w:val="24"/>
          <w:szCs w:val="24"/>
        </w:rPr>
        <w:t xml:space="preserve"> Nat Biotechnol. 2022;40:413–422.</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Schneider P, Walters W, Plowright A, et al. </w:t>
      </w:r>
      <w:r w:rsidRPr="00F8300B">
        <w:rPr>
          <w:rFonts w:ascii="Times New Roman" w:eastAsia="Times New Roman" w:hAnsi="Times New Roman" w:cs="Times New Roman"/>
          <w:i/>
          <w:iCs/>
          <w:sz w:val="24"/>
          <w:szCs w:val="24"/>
        </w:rPr>
        <w:t>Rethinking drug design in the era of machine learning.</w:t>
      </w:r>
      <w:r w:rsidRPr="00F8300B">
        <w:rPr>
          <w:rFonts w:ascii="Times New Roman" w:eastAsia="Times New Roman" w:hAnsi="Times New Roman" w:cs="Times New Roman"/>
          <w:sz w:val="24"/>
          <w:szCs w:val="24"/>
        </w:rPr>
        <w:t xml:space="preserve"> Nat Rev Drug Discov. 2020;19:353–368.</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Wang H, Li Y, et al. </w:t>
      </w:r>
      <w:r w:rsidRPr="00F8300B">
        <w:rPr>
          <w:rFonts w:ascii="Times New Roman" w:eastAsia="Times New Roman" w:hAnsi="Times New Roman" w:cs="Times New Roman"/>
          <w:i/>
          <w:iCs/>
          <w:sz w:val="24"/>
          <w:szCs w:val="24"/>
        </w:rPr>
        <w:t>Decentralized Clinical Trials in the Era of Real-World Data.</w:t>
      </w:r>
      <w:r w:rsidRPr="00F8300B">
        <w:rPr>
          <w:rFonts w:ascii="Times New Roman" w:eastAsia="Times New Roman" w:hAnsi="Times New Roman" w:cs="Times New Roman"/>
          <w:sz w:val="24"/>
          <w:szCs w:val="24"/>
        </w:rPr>
        <w:t xml:space="preserve"> Clin Transl Sci. 2024;17(2):182–196.</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Dorsey E, Topol E. </w:t>
      </w:r>
      <w:r w:rsidRPr="00F8300B">
        <w:rPr>
          <w:rFonts w:ascii="Times New Roman" w:eastAsia="Times New Roman" w:hAnsi="Times New Roman" w:cs="Times New Roman"/>
          <w:i/>
          <w:iCs/>
          <w:sz w:val="24"/>
          <w:szCs w:val="24"/>
        </w:rPr>
        <w:t>Telemedicine 2020 and Beyond.</w:t>
      </w:r>
      <w:r w:rsidRPr="00F8300B">
        <w:rPr>
          <w:rFonts w:ascii="Times New Roman" w:eastAsia="Times New Roman" w:hAnsi="Times New Roman" w:cs="Times New Roman"/>
          <w:sz w:val="24"/>
          <w:szCs w:val="24"/>
        </w:rPr>
        <w:t xml:space="preserve"> JAMA. 2020;324(4):437–438.</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Thorlund K, et al. </w:t>
      </w:r>
      <w:r w:rsidRPr="00F8300B">
        <w:rPr>
          <w:rFonts w:ascii="Times New Roman" w:eastAsia="Times New Roman" w:hAnsi="Times New Roman" w:cs="Times New Roman"/>
          <w:i/>
          <w:iCs/>
          <w:sz w:val="24"/>
          <w:szCs w:val="24"/>
        </w:rPr>
        <w:t>Real-world evidence for clinical trials.</w:t>
      </w:r>
      <w:r w:rsidRPr="00F8300B">
        <w:rPr>
          <w:rFonts w:ascii="Times New Roman" w:eastAsia="Times New Roman" w:hAnsi="Times New Roman" w:cs="Times New Roman"/>
          <w:sz w:val="24"/>
          <w:szCs w:val="24"/>
        </w:rPr>
        <w:t xml:space="preserve"> J Clin Epidemiol. 2021;142:1–10.</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Clinical Trials Transformation Initiative (CTTI). </w:t>
      </w:r>
      <w:r w:rsidRPr="00F8300B">
        <w:rPr>
          <w:rFonts w:ascii="Times New Roman" w:eastAsia="Times New Roman" w:hAnsi="Times New Roman" w:cs="Times New Roman"/>
          <w:i/>
          <w:iCs/>
          <w:sz w:val="24"/>
          <w:szCs w:val="24"/>
        </w:rPr>
        <w:t>Decentralized Clinical Trials Recommendations.</w:t>
      </w:r>
      <w:r w:rsidRPr="00F8300B">
        <w:rPr>
          <w:rFonts w:ascii="Times New Roman" w:eastAsia="Times New Roman" w:hAnsi="Times New Roman" w:cs="Times New Roman"/>
          <w:sz w:val="24"/>
          <w:szCs w:val="24"/>
        </w:rPr>
        <w:t xml:space="preserve"> 2023.</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U.S. FDA. </w:t>
      </w:r>
      <w:r w:rsidRPr="00F8300B">
        <w:rPr>
          <w:rFonts w:ascii="Times New Roman" w:eastAsia="Times New Roman" w:hAnsi="Times New Roman" w:cs="Times New Roman"/>
          <w:i/>
          <w:iCs/>
          <w:sz w:val="24"/>
          <w:szCs w:val="24"/>
        </w:rPr>
        <w:t>Electronic Common Technical Document (eCTD) Guidance.</w:t>
      </w:r>
      <w:r w:rsidRPr="00F8300B">
        <w:rPr>
          <w:rFonts w:ascii="Times New Roman" w:eastAsia="Times New Roman" w:hAnsi="Times New Roman" w:cs="Times New Roman"/>
          <w:sz w:val="24"/>
          <w:szCs w:val="24"/>
        </w:rPr>
        <w:t xml:space="preserve"> 2024.</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EMA. </w:t>
      </w:r>
      <w:r w:rsidRPr="00F8300B">
        <w:rPr>
          <w:rFonts w:ascii="Times New Roman" w:eastAsia="Times New Roman" w:hAnsi="Times New Roman" w:cs="Times New Roman"/>
          <w:i/>
          <w:iCs/>
          <w:sz w:val="24"/>
          <w:szCs w:val="24"/>
        </w:rPr>
        <w:t>Guideline on Computerized Systems and Electronic Data.</w:t>
      </w:r>
      <w:r w:rsidRPr="00F8300B">
        <w:rPr>
          <w:rFonts w:ascii="Times New Roman" w:eastAsia="Times New Roman" w:hAnsi="Times New Roman" w:cs="Times New Roman"/>
          <w:sz w:val="24"/>
          <w:szCs w:val="24"/>
        </w:rPr>
        <w:t xml:space="preserve"> Rev. 2023.</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IQVIA. </w:t>
      </w:r>
      <w:r w:rsidRPr="00F8300B">
        <w:rPr>
          <w:rFonts w:ascii="Times New Roman" w:eastAsia="Times New Roman" w:hAnsi="Times New Roman" w:cs="Times New Roman"/>
          <w:i/>
          <w:iCs/>
          <w:sz w:val="24"/>
          <w:szCs w:val="24"/>
        </w:rPr>
        <w:t>Digital Transformation in Drug Development Report.</w:t>
      </w:r>
      <w:r w:rsidRPr="00F8300B">
        <w:rPr>
          <w:rFonts w:ascii="Times New Roman" w:eastAsia="Times New Roman" w:hAnsi="Times New Roman" w:cs="Times New Roman"/>
          <w:sz w:val="24"/>
          <w:szCs w:val="24"/>
        </w:rPr>
        <w:t xml:space="preserve"> 2024.</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McKinsey &amp; Company. </w:t>
      </w:r>
      <w:r w:rsidRPr="00F8300B">
        <w:rPr>
          <w:rFonts w:ascii="Times New Roman" w:eastAsia="Times New Roman" w:hAnsi="Times New Roman" w:cs="Times New Roman"/>
          <w:i/>
          <w:iCs/>
          <w:sz w:val="24"/>
          <w:szCs w:val="24"/>
        </w:rPr>
        <w:t>Digital and AI in Biopharma: Value Creation.</w:t>
      </w:r>
      <w:r w:rsidRPr="00F8300B">
        <w:rPr>
          <w:rFonts w:ascii="Times New Roman" w:eastAsia="Times New Roman" w:hAnsi="Times New Roman" w:cs="Times New Roman"/>
          <w:sz w:val="24"/>
          <w:szCs w:val="24"/>
        </w:rPr>
        <w:t xml:space="preserve"> 2023.</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Deloitte. </w:t>
      </w:r>
      <w:r w:rsidRPr="00F8300B">
        <w:rPr>
          <w:rFonts w:ascii="Times New Roman" w:eastAsia="Times New Roman" w:hAnsi="Times New Roman" w:cs="Times New Roman"/>
          <w:i/>
          <w:iCs/>
          <w:sz w:val="24"/>
          <w:szCs w:val="24"/>
        </w:rPr>
        <w:t>Emerging Digital Models in Pharma R&amp;D.</w:t>
      </w:r>
      <w:r w:rsidRPr="00F8300B">
        <w:rPr>
          <w:rFonts w:ascii="Times New Roman" w:eastAsia="Times New Roman" w:hAnsi="Times New Roman" w:cs="Times New Roman"/>
          <w:sz w:val="24"/>
          <w:szCs w:val="24"/>
        </w:rPr>
        <w:t xml:space="preserve"> 2024.</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EFPIA. </w:t>
      </w:r>
      <w:r w:rsidRPr="00F8300B">
        <w:rPr>
          <w:rFonts w:ascii="Times New Roman" w:eastAsia="Times New Roman" w:hAnsi="Times New Roman" w:cs="Times New Roman"/>
          <w:i/>
          <w:iCs/>
          <w:sz w:val="24"/>
          <w:szCs w:val="24"/>
        </w:rPr>
        <w:t>2024 Pipeline Review – Innovation for Unmet Need.</w:t>
      </w:r>
      <w:r w:rsidRPr="00F8300B">
        <w:rPr>
          <w:rFonts w:ascii="Times New Roman" w:eastAsia="Times New Roman" w:hAnsi="Times New Roman" w:cs="Times New Roman"/>
          <w:sz w:val="24"/>
          <w:szCs w:val="24"/>
        </w:rPr>
        <w:t xml:space="preserve"> European Federation of Pharmaceutical Industries.</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Ashburn T, Thor K. </w:t>
      </w:r>
      <w:r w:rsidRPr="00F8300B">
        <w:rPr>
          <w:rFonts w:ascii="Times New Roman" w:eastAsia="Times New Roman" w:hAnsi="Times New Roman" w:cs="Times New Roman"/>
          <w:i/>
          <w:iCs/>
          <w:sz w:val="24"/>
          <w:szCs w:val="24"/>
        </w:rPr>
        <w:t>Drug repositioning: identifying and developing new uses for existing drugs.</w:t>
      </w:r>
      <w:r w:rsidRPr="00F8300B">
        <w:rPr>
          <w:rFonts w:ascii="Times New Roman" w:eastAsia="Times New Roman" w:hAnsi="Times New Roman" w:cs="Times New Roman"/>
          <w:sz w:val="24"/>
          <w:szCs w:val="24"/>
        </w:rPr>
        <w:t xml:space="preserve"> Nat Rev Drug Discov. 2004;3:673–683.</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Mullard A. </w:t>
      </w:r>
      <w:r w:rsidRPr="00F8300B">
        <w:rPr>
          <w:rFonts w:ascii="Times New Roman" w:eastAsia="Times New Roman" w:hAnsi="Times New Roman" w:cs="Times New Roman"/>
          <w:i/>
          <w:iCs/>
          <w:sz w:val="24"/>
          <w:szCs w:val="24"/>
        </w:rPr>
        <w:t>2022: The year in new drugs.</w:t>
      </w:r>
      <w:r w:rsidRPr="00F8300B">
        <w:rPr>
          <w:rFonts w:ascii="Times New Roman" w:eastAsia="Times New Roman" w:hAnsi="Times New Roman" w:cs="Times New Roman"/>
          <w:sz w:val="24"/>
          <w:szCs w:val="24"/>
        </w:rPr>
        <w:t xml:space="preserve"> Nat Rev Drug Discov. 2023;22:85–93.</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Hughes JP, et al. </w:t>
      </w:r>
      <w:r w:rsidRPr="00F8300B">
        <w:rPr>
          <w:rFonts w:ascii="Times New Roman" w:eastAsia="Times New Roman" w:hAnsi="Times New Roman" w:cs="Times New Roman"/>
          <w:i/>
          <w:iCs/>
          <w:sz w:val="24"/>
          <w:szCs w:val="24"/>
        </w:rPr>
        <w:t>Principles of early drug discovery.</w:t>
      </w:r>
      <w:r w:rsidRPr="00F8300B">
        <w:rPr>
          <w:rFonts w:ascii="Times New Roman" w:eastAsia="Times New Roman" w:hAnsi="Times New Roman" w:cs="Times New Roman"/>
          <w:sz w:val="24"/>
          <w:szCs w:val="24"/>
        </w:rPr>
        <w:t xml:space="preserve"> Br J Pharmacol. 2011;162:1239–1249.</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Romano J, et al. </w:t>
      </w:r>
      <w:r w:rsidRPr="00F8300B">
        <w:rPr>
          <w:rFonts w:ascii="Times New Roman" w:eastAsia="Times New Roman" w:hAnsi="Times New Roman" w:cs="Times New Roman"/>
          <w:i/>
          <w:iCs/>
          <w:sz w:val="24"/>
          <w:szCs w:val="24"/>
        </w:rPr>
        <w:t>AI-based predictive toxicology models.</w:t>
      </w:r>
      <w:r w:rsidRPr="00F8300B">
        <w:rPr>
          <w:rFonts w:ascii="Times New Roman" w:eastAsia="Times New Roman" w:hAnsi="Times New Roman" w:cs="Times New Roman"/>
          <w:sz w:val="24"/>
          <w:szCs w:val="24"/>
        </w:rPr>
        <w:t xml:space="preserve"> Comput Toxicol. 2023;29:100–117.</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Fleming N. </w:t>
      </w:r>
      <w:r w:rsidRPr="00F8300B">
        <w:rPr>
          <w:rFonts w:ascii="Times New Roman" w:eastAsia="Times New Roman" w:hAnsi="Times New Roman" w:cs="Times New Roman"/>
          <w:i/>
          <w:iCs/>
          <w:sz w:val="24"/>
          <w:szCs w:val="24"/>
        </w:rPr>
        <w:t>How AI is reshaping clinical trials.</w:t>
      </w:r>
      <w:r w:rsidRPr="00F8300B">
        <w:rPr>
          <w:rFonts w:ascii="Times New Roman" w:eastAsia="Times New Roman" w:hAnsi="Times New Roman" w:cs="Times New Roman"/>
          <w:sz w:val="24"/>
          <w:szCs w:val="24"/>
        </w:rPr>
        <w:t xml:space="preserve"> Nature. 2018;563:312–314.</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Brown D, Tang Y. </w:t>
      </w:r>
      <w:r w:rsidRPr="00F8300B">
        <w:rPr>
          <w:rFonts w:ascii="Times New Roman" w:eastAsia="Times New Roman" w:hAnsi="Times New Roman" w:cs="Times New Roman"/>
          <w:i/>
          <w:iCs/>
          <w:sz w:val="24"/>
          <w:szCs w:val="24"/>
        </w:rPr>
        <w:t>Integrated Digital Workflows in Regulatory Affairs.</w:t>
      </w:r>
      <w:r w:rsidRPr="00F8300B">
        <w:rPr>
          <w:rFonts w:ascii="Times New Roman" w:eastAsia="Times New Roman" w:hAnsi="Times New Roman" w:cs="Times New Roman"/>
          <w:sz w:val="24"/>
          <w:szCs w:val="24"/>
        </w:rPr>
        <w:t xml:space="preserve"> Regulatory Focus. 2023.</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Touma J, et al. </w:t>
      </w:r>
      <w:r w:rsidRPr="00F8300B">
        <w:rPr>
          <w:rFonts w:ascii="Times New Roman" w:eastAsia="Times New Roman" w:hAnsi="Times New Roman" w:cs="Times New Roman"/>
          <w:i/>
          <w:iCs/>
          <w:sz w:val="24"/>
          <w:szCs w:val="24"/>
        </w:rPr>
        <w:t>Machine learning for ADMET prediction.</w:t>
      </w:r>
      <w:r w:rsidRPr="00F8300B">
        <w:rPr>
          <w:rFonts w:ascii="Times New Roman" w:eastAsia="Times New Roman" w:hAnsi="Times New Roman" w:cs="Times New Roman"/>
          <w:sz w:val="24"/>
          <w:szCs w:val="24"/>
        </w:rPr>
        <w:t xml:space="preserve"> J Med Chem. 2024</w:t>
      </w:r>
      <w:proofErr w:type="gramStart"/>
      <w:r w:rsidRPr="00F8300B">
        <w:rPr>
          <w:rFonts w:ascii="Times New Roman" w:eastAsia="Times New Roman" w:hAnsi="Times New Roman" w:cs="Times New Roman"/>
          <w:sz w:val="24"/>
          <w:szCs w:val="24"/>
        </w:rPr>
        <w:t>;67</w:t>
      </w:r>
      <w:proofErr w:type="gramEnd"/>
      <w:r w:rsidRPr="00F8300B">
        <w:rPr>
          <w:rFonts w:ascii="Times New Roman" w:eastAsia="Times New Roman" w:hAnsi="Times New Roman" w:cs="Times New Roman"/>
          <w:sz w:val="24"/>
          <w:szCs w:val="24"/>
        </w:rPr>
        <w:t>(15):4123–4140.</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Reddy S, et al. </w:t>
      </w:r>
      <w:r w:rsidRPr="00F8300B">
        <w:rPr>
          <w:rFonts w:ascii="Times New Roman" w:eastAsia="Times New Roman" w:hAnsi="Times New Roman" w:cs="Times New Roman"/>
          <w:i/>
          <w:iCs/>
          <w:sz w:val="24"/>
          <w:szCs w:val="24"/>
        </w:rPr>
        <w:t>Digital biomarkers in therapeutic development.</w:t>
      </w:r>
      <w:r w:rsidRPr="00F8300B">
        <w:rPr>
          <w:rFonts w:ascii="Times New Roman" w:eastAsia="Times New Roman" w:hAnsi="Times New Roman" w:cs="Times New Roman"/>
          <w:sz w:val="24"/>
          <w:szCs w:val="24"/>
        </w:rPr>
        <w:t xml:space="preserve"> </w:t>
      </w:r>
      <w:proofErr w:type="gramStart"/>
      <w:r w:rsidRPr="00F8300B">
        <w:rPr>
          <w:rFonts w:ascii="Times New Roman" w:eastAsia="Times New Roman" w:hAnsi="Times New Roman" w:cs="Times New Roman"/>
          <w:sz w:val="24"/>
          <w:szCs w:val="24"/>
        </w:rPr>
        <w:t>npj</w:t>
      </w:r>
      <w:proofErr w:type="gramEnd"/>
      <w:r w:rsidRPr="00F8300B">
        <w:rPr>
          <w:rFonts w:ascii="Times New Roman" w:eastAsia="Times New Roman" w:hAnsi="Times New Roman" w:cs="Times New Roman"/>
          <w:sz w:val="24"/>
          <w:szCs w:val="24"/>
        </w:rPr>
        <w:t xml:space="preserve"> Digit Med. 2022;5:15.</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Bender A, Cortés-Ciriano I. </w:t>
      </w:r>
      <w:r w:rsidRPr="00F8300B">
        <w:rPr>
          <w:rFonts w:ascii="Times New Roman" w:eastAsia="Times New Roman" w:hAnsi="Times New Roman" w:cs="Times New Roman"/>
          <w:i/>
          <w:iCs/>
          <w:sz w:val="24"/>
          <w:szCs w:val="24"/>
        </w:rPr>
        <w:t>Artificial Intelligence in drug discovery: what is realistic?</w:t>
      </w:r>
      <w:r w:rsidRPr="00F8300B">
        <w:rPr>
          <w:rFonts w:ascii="Times New Roman" w:eastAsia="Times New Roman" w:hAnsi="Times New Roman" w:cs="Times New Roman"/>
          <w:sz w:val="24"/>
          <w:szCs w:val="24"/>
        </w:rPr>
        <w:t xml:space="preserve"> Drug Discov Today. 2021;26:511–524.</w:t>
      </w:r>
    </w:p>
    <w:p w:rsidR="00F8300B" w:rsidRPr="00F8300B" w:rsidRDefault="00F8300B" w:rsidP="00F8300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300B">
        <w:rPr>
          <w:rFonts w:ascii="Times New Roman" w:eastAsia="Times New Roman" w:hAnsi="Times New Roman" w:cs="Times New Roman"/>
          <w:sz w:val="24"/>
          <w:szCs w:val="24"/>
        </w:rPr>
        <w:t xml:space="preserve">Nassar AF, et al. </w:t>
      </w:r>
      <w:r w:rsidRPr="00F8300B">
        <w:rPr>
          <w:rFonts w:ascii="Times New Roman" w:eastAsia="Times New Roman" w:hAnsi="Times New Roman" w:cs="Times New Roman"/>
          <w:i/>
          <w:iCs/>
          <w:sz w:val="24"/>
          <w:szCs w:val="24"/>
        </w:rPr>
        <w:t>End-to-end digitized pharmaceutical R&amp;D: Challenges and Future Opportunities.</w:t>
      </w:r>
      <w:r w:rsidRPr="00F8300B">
        <w:rPr>
          <w:rFonts w:ascii="Times New Roman" w:eastAsia="Times New Roman" w:hAnsi="Times New Roman" w:cs="Times New Roman"/>
          <w:sz w:val="24"/>
          <w:szCs w:val="24"/>
        </w:rPr>
        <w:t xml:space="preserve"> J Pharm Innov. 2025.</w:t>
      </w:r>
    </w:p>
    <w:p w:rsidR="00F8300B" w:rsidRDefault="00F8300B"/>
    <w:sectPr w:rsidR="00F830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C24EA"/>
    <w:multiLevelType w:val="multilevel"/>
    <w:tmpl w:val="BB02E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707402"/>
    <w:multiLevelType w:val="multilevel"/>
    <w:tmpl w:val="79C4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9C0D8A"/>
    <w:multiLevelType w:val="multilevel"/>
    <w:tmpl w:val="4240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1867B3"/>
    <w:multiLevelType w:val="multilevel"/>
    <w:tmpl w:val="2A60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00B"/>
    <w:rsid w:val="00064637"/>
    <w:rsid w:val="002D475F"/>
    <w:rsid w:val="00F83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3B551-75C4-4177-A1BC-4607539A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30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30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60109">
      <w:bodyDiv w:val="1"/>
      <w:marLeft w:val="0"/>
      <w:marRight w:val="0"/>
      <w:marTop w:val="0"/>
      <w:marBottom w:val="0"/>
      <w:divBdr>
        <w:top w:val="none" w:sz="0" w:space="0" w:color="auto"/>
        <w:left w:val="none" w:sz="0" w:space="0" w:color="auto"/>
        <w:bottom w:val="none" w:sz="0" w:space="0" w:color="auto"/>
        <w:right w:val="none" w:sz="0" w:space="0" w:color="auto"/>
      </w:divBdr>
    </w:div>
    <w:div w:id="375280458">
      <w:bodyDiv w:val="1"/>
      <w:marLeft w:val="0"/>
      <w:marRight w:val="0"/>
      <w:marTop w:val="0"/>
      <w:marBottom w:val="0"/>
      <w:divBdr>
        <w:top w:val="none" w:sz="0" w:space="0" w:color="auto"/>
        <w:left w:val="none" w:sz="0" w:space="0" w:color="auto"/>
        <w:bottom w:val="none" w:sz="0" w:space="0" w:color="auto"/>
        <w:right w:val="none" w:sz="0" w:space="0" w:color="auto"/>
      </w:divBdr>
    </w:div>
    <w:div w:id="435249512">
      <w:bodyDiv w:val="1"/>
      <w:marLeft w:val="0"/>
      <w:marRight w:val="0"/>
      <w:marTop w:val="0"/>
      <w:marBottom w:val="0"/>
      <w:divBdr>
        <w:top w:val="none" w:sz="0" w:space="0" w:color="auto"/>
        <w:left w:val="none" w:sz="0" w:space="0" w:color="auto"/>
        <w:bottom w:val="none" w:sz="0" w:space="0" w:color="auto"/>
        <w:right w:val="none" w:sz="0" w:space="0" w:color="auto"/>
      </w:divBdr>
    </w:div>
    <w:div w:id="1039361487">
      <w:bodyDiv w:val="1"/>
      <w:marLeft w:val="0"/>
      <w:marRight w:val="0"/>
      <w:marTop w:val="0"/>
      <w:marBottom w:val="0"/>
      <w:divBdr>
        <w:top w:val="none" w:sz="0" w:space="0" w:color="auto"/>
        <w:left w:val="none" w:sz="0" w:space="0" w:color="auto"/>
        <w:bottom w:val="none" w:sz="0" w:space="0" w:color="auto"/>
        <w:right w:val="none" w:sz="0" w:space="0" w:color="auto"/>
      </w:divBdr>
      <w:divsChild>
        <w:div w:id="1130826457">
          <w:marLeft w:val="0"/>
          <w:marRight w:val="0"/>
          <w:marTop w:val="0"/>
          <w:marBottom w:val="0"/>
          <w:divBdr>
            <w:top w:val="none" w:sz="0" w:space="0" w:color="auto"/>
            <w:left w:val="none" w:sz="0" w:space="0" w:color="auto"/>
            <w:bottom w:val="none" w:sz="0" w:space="0" w:color="auto"/>
            <w:right w:val="none" w:sz="0" w:space="0" w:color="auto"/>
          </w:divBdr>
          <w:divsChild>
            <w:div w:id="162955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38565">
      <w:bodyDiv w:val="1"/>
      <w:marLeft w:val="0"/>
      <w:marRight w:val="0"/>
      <w:marTop w:val="0"/>
      <w:marBottom w:val="0"/>
      <w:divBdr>
        <w:top w:val="none" w:sz="0" w:space="0" w:color="auto"/>
        <w:left w:val="none" w:sz="0" w:space="0" w:color="auto"/>
        <w:bottom w:val="none" w:sz="0" w:space="0" w:color="auto"/>
        <w:right w:val="none" w:sz="0" w:space="0" w:color="auto"/>
      </w:divBdr>
    </w:div>
    <w:div w:id="1484472409">
      <w:bodyDiv w:val="1"/>
      <w:marLeft w:val="0"/>
      <w:marRight w:val="0"/>
      <w:marTop w:val="0"/>
      <w:marBottom w:val="0"/>
      <w:divBdr>
        <w:top w:val="none" w:sz="0" w:space="0" w:color="auto"/>
        <w:left w:val="none" w:sz="0" w:space="0" w:color="auto"/>
        <w:bottom w:val="none" w:sz="0" w:space="0" w:color="auto"/>
        <w:right w:val="none" w:sz="0" w:space="0" w:color="auto"/>
      </w:divBdr>
      <w:divsChild>
        <w:div w:id="552275998">
          <w:marLeft w:val="0"/>
          <w:marRight w:val="0"/>
          <w:marTop w:val="0"/>
          <w:marBottom w:val="0"/>
          <w:divBdr>
            <w:top w:val="none" w:sz="0" w:space="0" w:color="auto"/>
            <w:left w:val="none" w:sz="0" w:space="0" w:color="auto"/>
            <w:bottom w:val="none" w:sz="0" w:space="0" w:color="auto"/>
            <w:right w:val="none" w:sz="0" w:space="0" w:color="auto"/>
          </w:divBdr>
          <w:divsChild>
            <w:div w:id="3139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2308</Words>
  <Characters>13159</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From Molecule to Market: Digitizing the Drug Development Pipeline</vt:lpstr>
      <vt:lpstr>    </vt:lpstr>
      <vt:lpstr>    Abstract</vt:lpstr>
      <vt:lpstr>    1. Introduction</vt:lpstr>
      <vt:lpstr>    2. Literature Review</vt:lpstr>
      <vt:lpstr>        2.1 Digital Transformation in Drug Discovery</vt:lpstr>
      <vt:lpstr>        2.2 Digital Innovations in Clinical Trials</vt:lpstr>
      <vt:lpstr>        2.3 Digital Workflow Integration in Regulatory Review</vt:lpstr>
      <vt:lpstr>    3. Methodology</vt:lpstr>
      <vt:lpstr>    4. Statistical and Analytical Approach</vt:lpstr>
      <vt:lpstr>    5. Results</vt:lpstr>
      <vt:lpstr>        Table 1. Digital Tools Across the Drug Development Pipeline</vt:lpstr>
      <vt:lpstr>    6. Discussion</vt:lpstr>
      <vt:lpstr>    7. Conclusion</vt:lpstr>
      <vt:lpstr>    Acknowledgment</vt:lpstr>
      <vt:lpstr>    Authors’ Contributions</vt:lpstr>
      <vt:lpstr>    Conflict of Interest</vt:lpstr>
      <vt:lpstr>    Funding</vt:lpstr>
      <vt:lpstr>    References</vt:lpstr>
    </vt:vector>
  </TitlesOfParts>
  <Company/>
  <LinksUpToDate>false</LinksUpToDate>
  <CharactersWithSpaces>15437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aUN eLECTRONIC</dc:creator>
  <cp:keywords/>
  <dc:description/>
  <cp:lastModifiedBy>aUN eLECTRONIC</cp:lastModifiedBy>
  <cp:revision>1</cp:revision>
  <dcterms:created xsi:type="dcterms:W3CDTF">2025-11-06T14:04:00Z</dcterms:created>
  <dcterms:modified xsi:type="dcterms:W3CDTF">2025-11-06T14:17:00Z</dcterms:modified>
</cp:coreProperties>
</file>